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3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406"/>
      </w:tblGrid>
      <w:tr w:rsidR="00A60D31" w:rsidRPr="00A0749B" w:rsidTr="001D3FD1">
        <w:trPr>
          <w:trHeight w:val="190"/>
        </w:trPr>
        <w:tc>
          <w:tcPr>
            <w:tcW w:w="2001" w:type="dxa"/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</w:t>
            </w:r>
            <w:r w:rsidR="003A661E">
              <w:rPr>
                <w:rFonts w:ascii="Calibri" w:eastAsia="Calibri" w:hAnsi="Calibri" w:cs="Times New Roman"/>
                <w:b/>
              </w:rPr>
              <w:t xml:space="preserve"> y 2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A60D31" w:rsidRPr="00A0749B" w:rsidRDefault="00417517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Química 1</w:t>
            </w:r>
            <w:r w:rsidR="003A661E">
              <w:rPr>
                <w:rFonts w:ascii="Calibri" w:eastAsia="Calibri" w:hAnsi="Calibri" w:cs="Times New Roman"/>
                <w:b/>
              </w:rPr>
              <w:t xml:space="preserve">  Medio</w:t>
            </w:r>
          </w:p>
        </w:tc>
      </w:tr>
      <w:tr w:rsidR="00A60D31" w:rsidRPr="00A0749B" w:rsidTr="001D3FD1">
        <w:trPr>
          <w:trHeight w:val="455"/>
        </w:trPr>
        <w:tc>
          <w:tcPr>
            <w:tcW w:w="8330" w:type="dxa"/>
            <w:gridSpan w:val="3"/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</w:t>
            </w:r>
            <w:r w:rsidR="006E5B06">
              <w:rPr>
                <w:rFonts w:ascii="Calibri" w:eastAsia="Calibri" w:hAnsi="Calibri" w:cs="Times New Roman"/>
                <w:b/>
              </w:rPr>
              <w:t>____</w:t>
            </w:r>
            <w:r w:rsidR="00FF608F">
              <w:rPr>
                <w:rFonts w:ascii="Calibri" w:eastAsia="Calibri" w:hAnsi="Calibri" w:cs="Times New Roman"/>
                <w:b/>
              </w:rPr>
              <w:t>____</w:t>
            </w:r>
          </w:p>
        </w:tc>
      </w:tr>
      <w:tr w:rsidR="00A60D31" w:rsidRPr="00A0749B" w:rsidTr="001D3FD1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E5B06">
              <w:rPr>
                <w:rFonts w:ascii="Calibri" w:eastAsia="Calibri" w:hAnsi="Calibri" w:cs="Times New Roman"/>
                <w:b/>
              </w:rPr>
              <w:t>1</w:t>
            </w:r>
            <w:r w:rsidR="002F2851">
              <w:rPr>
                <w:rFonts w:ascii="Calibri" w:eastAsia="Calibri" w:hAnsi="Calibri" w:cs="Times New Roman"/>
                <w:b/>
              </w:rPr>
              <w:t xml:space="preserve"> Medio</w:t>
            </w:r>
          </w:p>
        </w:tc>
      </w:tr>
      <w:tr w:rsidR="00A60D31" w:rsidRPr="00A0749B" w:rsidTr="001D3FD1">
        <w:trPr>
          <w:trHeight w:val="96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17517">
              <w:rPr>
                <w:rFonts w:ascii="Calibri" w:eastAsia="Calibri" w:hAnsi="Calibri" w:cs="Times New Roman"/>
                <w:b/>
              </w:rPr>
              <w:t xml:space="preserve">Reacciones químicas 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60D31" w:rsidRPr="00A0749B" w:rsidTr="001D3FD1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13" w:rsidRPr="00311213" w:rsidRDefault="00311213" w:rsidP="0031121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proofErr w:type="gramStart"/>
            <w:r w:rsidR="003A661E">
              <w:rPr>
                <w:rFonts w:ascii="Calibri" w:eastAsia="Calibri" w:hAnsi="Calibri" w:cs="Times New Roman"/>
                <w:b/>
                <w:bCs/>
              </w:rPr>
              <w:t>Comprender ,analizar</w:t>
            </w:r>
            <w:proofErr w:type="gramEnd"/>
            <w:r w:rsidR="003A661E">
              <w:rPr>
                <w:rFonts w:ascii="Calibri" w:eastAsia="Calibri" w:hAnsi="Calibri" w:cs="Times New Roman"/>
                <w:b/>
                <w:bCs/>
              </w:rPr>
              <w:t xml:space="preserve"> y aplicar los conceptos relacionados con </w:t>
            </w:r>
            <w:r w:rsidR="006E5B06">
              <w:rPr>
                <w:rFonts w:ascii="Calibri" w:eastAsia="Calibri" w:hAnsi="Calibri" w:cs="Times New Roman"/>
                <w:b/>
                <w:bCs/>
              </w:rPr>
              <w:t>los tipos de reacciones químicas .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60D31" w:rsidRPr="00A0749B" w:rsidTr="001D3FD1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60D31" w:rsidRPr="00A0749B" w:rsidRDefault="00311213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3A661E"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A60D31" w:rsidRPr="00A0749B" w:rsidTr="001D3FD1">
        <w:trPr>
          <w:trHeight w:val="5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41751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E5B06">
              <w:rPr>
                <w:rFonts w:ascii="Calibri" w:eastAsia="Calibri" w:hAnsi="Calibri" w:cs="Times New Roman"/>
                <w:b/>
                <w:bCs/>
              </w:rPr>
              <w:t xml:space="preserve"> Según lo que sale a continuación conteste la siguiente guía </w:t>
            </w:r>
          </w:p>
        </w:tc>
      </w:tr>
    </w:tbl>
    <w:p w:rsidR="003A661E" w:rsidRDefault="003A661E" w:rsidP="003A661E"/>
    <w:p w:rsidR="00417517" w:rsidRPr="00417517" w:rsidRDefault="00417517" w:rsidP="004175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517">
        <w:rPr>
          <w:rFonts w:ascii="Times New Roman" w:hAnsi="Times New Roman" w:cs="Times New Roman"/>
          <w:b/>
          <w:sz w:val="24"/>
          <w:szCs w:val="24"/>
        </w:rPr>
        <w:t>TIPOS DE REACCIONES QUIMICAS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 xml:space="preserve">Si sabemos lo que ocurre en una determinada reacción química, </w:t>
      </w:r>
      <w:r>
        <w:rPr>
          <w:rFonts w:ascii="Times New Roman" w:hAnsi="Times New Roman" w:cs="Times New Roman"/>
          <w:sz w:val="24"/>
          <w:szCs w:val="24"/>
        </w:rPr>
        <w:t>seremos capaces de predecir lo que</w:t>
      </w:r>
      <w:r w:rsidR="00FF608F"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ocurre en otras parecidas. Por eso es conveniente conocer los tipos más frecuentes de reacciones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químicas.</w:t>
      </w:r>
    </w:p>
    <w:p w:rsidR="00417517" w:rsidRPr="00417517" w:rsidRDefault="00417517" w:rsidP="0041751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17517">
        <w:rPr>
          <w:rFonts w:ascii="Times New Roman" w:hAnsi="Times New Roman" w:cs="Times New Roman"/>
          <w:b/>
          <w:sz w:val="24"/>
          <w:szCs w:val="24"/>
        </w:rPr>
        <w:t>Reacciones de combinación o síntesis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En este tipo de reacciones dos o más sustancias se combinan para dar un sólo producto:</w:t>
      </w:r>
    </w:p>
    <w:p w:rsidR="00417517" w:rsidRPr="00417517" w:rsidRDefault="00417517" w:rsidP="0041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2Mg + O2 → 2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7517" w:rsidRPr="00417517" w:rsidRDefault="00417517" w:rsidP="0041751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17517">
        <w:rPr>
          <w:rFonts w:ascii="Times New Roman" w:hAnsi="Times New Roman" w:cs="Times New Roman"/>
          <w:b/>
          <w:sz w:val="24"/>
          <w:szCs w:val="24"/>
        </w:rPr>
        <w:t>Reacciones de descomposición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En este caso a partir de un único compuesto se obtienen como producto dos o más sustancias: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7517">
        <w:rPr>
          <w:rFonts w:ascii="Times New Roman" w:hAnsi="Times New Roman" w:cs="Times New Roman"/>
          <w:sz w:val="24"/>
          <w:szCs w:val="24"/>
        </w:rPr>
        <w:t xml:space="preserve">2KClO3 → 2 </w:t>
      </w:r>
      <w:proofErr w:type="spellStart"/>
      <w:r w:rsidRPr="00417517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417517">
        <w:rPr>
          <w:rFonts w:ascii="Times New Roman" w:hAnsi="Times New Roman" w:cs="Times New Roman"/>
          <w:sz w:val="24"/>
          <w:szCs w:val="24"/>
        </w:rPr>
        <w:t xml:space="preserve"> + 3O2</w:t>
      </w:r>
    </w:p>
    <w:p w:rsidR="00417517" w:rsidRPr="00417517" w:rsidRDefault="00417517" w:rsidP="0041751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17517">
        <w:rPr>
          <w:rFonts w:ascii="Times New Roman" w:hAnsi="Times New Roman" w:cs="Times New Roman"/>
          <w:b/>
          <w:sz w:val="24"/>
          <w:szCs w:val="24"/>
        </w:rPr>
        <w:t>Reacciones de intercambio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En esta transformación un elemento se “traslada” de un compuesto a otro.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 xml:space="preserve"> Cu + 2 AgNO3 → </w:t>
      </w:r>
      <w:proofErr w:type="gramStart"/>
      <w:r w:rsidRPr="00417517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417517">
        <w:rPr>
          <w:rFonts w:ascii="Times New Roman" w:hAnsi="Times New Roman" w:cs="Times New Roman"/>
          <w:sz w:val="24"/>
          <w:szCs w:val="24"/>
        </w:rPr>
        <w:t>NO3)2 + 2 Ag</w:t>
      </w:r>
    </w:p>
    <w:p w:rsidR="00417517" w:rsidRPr="00417517" w:rsidRDefault="00417517" w:rsidP="0041751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17517">
        <w:rPr>
          <w:rFonts w:ascii="Times New Roman" w:hAnsi="Times New Roman" w:cs="Times New Roman"/>
          <w:b/>
          <w:sz w:val="24"/>
          <w:szCs w:val="24"/>
        </w:rPr>
        <w:lastRenderedPageBreak/>
        <w:t>Reacciones de combustión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Este tipo de reacciones pertenece a un grupo más amplio de re</w:t>
      </w:r>
      <w:r>
        <w:rPr>
          <w:rFonts w:ascii="Times New Roman" w:hAnsi="Times New Roman" w:cs="Times New Roman"/>
          <w:sz w:val="24"/>
          <w:szCs w:val="24"/>
        </w:rPr>
        <w:t xml:space="preserve">acciones que son denominadas de </w:t>
      </w:r>
      <w:r w:rsidRPr="00417517">
        <w:rPr>
          <w:rFonts w:ascii="Times New Roman" w:hAnsi="Times New Roman" w:cs="Times New Roman"/>
          <w:sz w:val="24"/>
          <w:szCs w:val="24"/>
        </w:rPr>
        <w:t>oxidación. Las reacciones de combustión se caracterizan por estar acompañadas de un gran aumento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la temperatura y emisión de luz. Las combustiones más frecuentes son combinaciones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oxígeno, y los productos más habituales son el dióxido de carbono y el agua.</w:t>
      </w:r>
    </w:p>
    <w:p w:rsidR="00417517" w:rsidRPr="00417517" w:rsidRDefault="00417517" w:rsidP="00417517">
      <w:pPr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El fuego es una manifestación de una reacción de combustión. Ya habrás aprendido que para encender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el fuego es necesario que haya un elemento combustible, por ejemplo la madera y el papel,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presencia de oxígeno.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En el caso de la combustión del metano tenemos que: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 xml:space="preserve"> CH4 + 2 O2 → CO2 + 2 H2O si hay suficiente cantidad de oxígeno.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>En el caso de que la cantidad de oxígeno no sea suficiente se pro</w:t>
      </w:r>
      <w:r>
        <w:rPr>
          <w:rFonts w:ascii="Times New Roman" w:hAnsi="Times New Roman" w:cs="Times New Roman"/>
          <w:sz w:val="24"/>
          <w:szCs w:val="24"/>
        </w:rPr>
        <w:t xml:space="preserve">duce una reacción de combustión </w:t>
      </w:r>
      <w:r w:rsidRPr="00417517">
        <w:rPr>
          <w:rFonts w:ascii="Times New Roman" w:hAnsi="Times New Roman" w:cs="Times New Roman"/>
          <w:sz w:val="24"/>
          <w:szCs w:val="24"/>
        </w:rPr>
        <w:t>incompleta que determina la formación de otros productos: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517">
        <w:rPr>
          <w:rFonts w:ascii="Times New Roman" w:hAnsi="Times New Roman" w:cs="Times New Roman"/>
          <w:sz w:val="24"/>
          <w:szCs w:val="24"/>
        </w:rPr>
        <w:t xml:space="preserve"> 2 CH</w:t>
      </w:r>
      <w:r w:rsidRPr="004175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17517">
        <w:rPr>
          <w:rFonts w:ascii="Times New Roman" w:hAnsi="Times New Roman" w:cs="Times New Roman"/>
          <w:sz w:val="24"/>
          <w:szCs w:val="24"/>
        </w:rPr>
        <w:t xml:space="preserve"> + 3 O</w:t>
      </w:r>
      <w:r w:rsidRPr="00417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517">
        <w:rPr>
          <w:rFonts w:ascii="Times New Roman" w:hAnsi="Times New Roman" w:cs="Times New Roman"/>
          <w:sz w:val="24"/>
          <w:szCs w:val="24"/>
        </w:rPr>
        <w:t xml:space="preserve"> → 2 CO + 4 H</w:t>
      </w:r>
      <w:r w:rsidRPr="004175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517">
        <w:rPr>
          <w:rFonts w:ascii="Times New Roman" w:hAnsi="Times New Roman" w:cs="Times New Roman"/>
          <w:sz w:val="24"/>
          <w:szCs w:val="24"/>
        </w:rPr>
        <w:t>O</w:t>
      </w:r>
    </w:p>
    <w:p w:rsidR="00417517" w:rsidRPr="00417517" w:rsidRDefault="00417517" w:rsidP="004175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517">
        <w:rPr>
          <w:rFonts w:ascii="Times New Roman" w:hAnsi="Times New Roman" w:cs="Times New Roman"/>
          <w:b/>
          <w:sz w:val="24"/>
          <w:szCs w:val="24"/>
        </w:rPr>
        <w:t>RESOLVER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1.- ¿Qué átomo o grupo de átomos se intercambió en el ejemplo de reacción de intercambio?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2.- ¿Podrías señalar las diferencias que existen en una combustión completa y una incompleta?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3.- Identifica las siguientes ecuaciones químicas: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a) 2HgO → Hg + 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b) N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+ 3 H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→ 2 NH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c) Mg + 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 w:rsidRPr="00BC4FD9">
        <w:rPr>
          <w:rFonts w:ascii="Times New Roman" w:hAnsi="Times New Roman" w:cs="Times New Roman"/>
          <w:b/>
          <w:sz w:val="24"/>
          <w:szCs w:val="24"/>
        </w:rPr>
        <w:t>MgO</w:t>
      </w:r>
      <w:proofErr w:type="spellEnd"/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d) MnO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+ Al → Al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>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+ Mn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e) H2O → H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+ 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f) Ca + 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 w:rsidRPr="00BC4FD9">
        <w:rPr>
          <w:rFonts w:ascii="Times New Roman" w:hAnsi="Times New Roman" w:cs="Times New Roman"/>
          <w:b/>
          <w:sz w:val="24"/>
          <w:szCs w:val="24"/>
        </w:rPr>
        <w:t>CaO</w:t>
      </w:r>
      <w:bookmarkStart w:id="0" w:name="_GoBack"/>
      <w:bookmarkEnd w:id="0"/>
      <w:proofErr w:type="spellEnd"/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g) P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C4FD9">
        <w:rPr>
          <w:rFonts w:ascii="Times New Roman" w:hAnsi="Times New Roman" w:cs="Times New Roman"/>
          <w:b/>
          <w:sz w:val="24"/>
          <w:szCs w:val="24"/>
        </w:rPr>
        <w:t>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>O → H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C4FD9">
        <w:rPr>
          <w:rFonts w:ascii="Times New Roman" w:hAnsi="Times New Roman" w:cs="Times New Roman"/>
          <w:b/>
          <w:sz w:val="24"/>
          <w:szCs w:val="24"/>
        </w:rPr>
        <w:t>PO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417517" w:rsidRPr="00BC4FD9" w:rsidRDefault="00417517" w:rsidP="00BC4F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D9">
        <w:rPr>
          <w:rFonts w:ascii="Times New Roman" w:hAnsi="Times New Roman" w:cs="Times New Roman"/>
          <w:b/>
          <w:sz w:val="24"/>
          <w:szCs w:val="24"/>
        </w:rPr>
        <w:t>h) Ca + N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4FD9">
        <w:rPr>
          <w:rFonts w:ascii="Times New Roman" w:hAnsi="Times New Roman" w:cs="Times New Roman"/>
          <w:b/>
          <w:sz w:val="24"/>
          <w:szCs w:val="24"/>
        </w:rPr>
        <w:t xml:space="preserve"> → Ca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C4FD9">
        <w:rPr>
          <w:rFonts w:ascii="Times New Roman" w:hAnsi="Times New Roman" w:cs="Times New Roman"/>
          <w:b/>
          <w:sz w:val="24"/>
          <w:szCs w:val="24"/>
        </w:rPr>
        <w:t>N</w:t>
      </w:r>
      <w:r w:rsidRPr="00BC4FD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A1C3B" w:rsidRPr="003A661E" w:rsidRDefault="008A1C3B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A1C3B" w:rsidRPr="003A6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31" w:rsidRDefault="002F4131" w:rsidP="00A0749B">
      <w:pPr>
        <w:spacing w:after="0" w:line="240" w:lineRule="auto"/>
      </w:pPr>
      <w:r>
        <w:separator/>
      </w:r>
    </w:p>
  </w:endnote>
  <w:endnote w:type="continuationSeparator" w:id="0">
    <w:p w:rsidR="002F4131" w:rsidRDefault="002F413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31" w:rsidRDefault="002F4131" w:rsidP="00A0749B">
      <w:pPr>
        <w:spacing w:after="0" w:line="240" w:lineRule="auto"/>
      </w:pPr>
      <w:r>
        <w:separator/>
      </w:r>
    </w:p>
  </w:footnote>
  <w:footnote w:type="continuationSeparator" w:id="0">
    <w:p w:rsidR="002F4131" w:rsidRDefault="002F413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7D88EA6" wp14:editId="29E55A4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EC47BA7" wp14:editId="32C8A22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D3FD1"/>
    <w:rsid w:val="002F2851"/>
    <w:rsid w:val="002F4131"/>
    <w:rsid w:val="00311213"/>
    <w:rsid w:val="003A661E"/>
    <w:rsid w:val="00417517"/>
    <w:rsid w:val="00424F75"/>
    <w:rsid w:val="00570C95"/>
    <w:rsid w:val="006C3037"/>
    <w:rsid w:val="006E5B06"/>
    <w:rsid w:val="008A1C3B"/>
    <w:rsid w:val="00962DC5"/>
    <w:rsid w:val="00A0749B"/>
    <w:rsid w:val="00A60D31"/>
    <w:rsid w:val="00BC4FD9"/>
    <w:rsid w:val="00C90FE0"/>
    <w:rsid w:val="00D15BEE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Patricio Vasquez</cp:lastModifiedBy>
  <cp:revision>4</cp:revision>
  <dcterms:created xsi:type="dcterms:W3CDTF">2020-03-24T14:48:00Z</dcterms:created>
  <dcterms:modified xsi:type="dcterms:W3CDTF">2020-03-24T14:56:00Z</dcterms:modified>
</cp:coreProperties>
</file>